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ACC" w:rsidRPr="00742ACC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A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 на судно на воздушной подушке (СВП)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ACC" w:rsidRPr="00EE70FB" w:rsidRDefault="00742ACC" w:rsidP="00742ACC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Liberation Serif" w:hAnsi="Times New Roman" w:cs="Times New Roman"/>
          <w:sz w:val="24"/>
          <w:szCs w:val="24"/>
          <w:lang w:eastAsia="ru-RU"/>
        </w:rPr>
        <w:t>Техническое задание описывает судно на классической воздушной подушке (далее СВП) не скегового типа.</w:t>
      </w:r>
    </w:p>
    <w:p w:rsidR="00742ACC" w:rsidRPr="00BC60A4" w:rsidRDefault="00742ACC" w:rsidP="00742ACC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4"/>
          <w:szCs w:val="24"/>
          <w:lang w:eastAsia="ru-RU"/>
        </w:rPr>
      </w:pPr>
      <w:r w:rsidRPr="00BC60A4">
        <w:rPr>
          <w:rFonts w:ascii="Times New Roman" w:eastAsia="Liberation Serif" w:hAnsi="Times New Roman" w:cs="Times New Roman"/>
          <w:sz w:val="24"/>
          <w:szCs w:val="24"/>
          <w:lang w:eastAsia="ru-RU"/>
        </w:rPr>
        <w:t>СВП должен быть российского производства – корпус и основные элементы движительно-нагнетательного комплекса должны серийно изготовляться на российском предприятии или на территории Российской Федерации.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двигательной установки должен использоваться один стационарный дизельный двигатель водо-воздушного охлаждения с двумя нагнетательными комплексами независимого управления и одним воздушным движителем. Недопустимо использование в трансмиссиях ременных или цепных передач – для передачи мощности от двигателя к нагнетателям и винтам должна использоваться гидравлическая трансмиссия.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Архитектурно-конструктивный тип судна – СВП </w:t>
      </w: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двухъярусным гибким ограждением по всему периметру, раздельным подъёмно-движительным комплексом с двумя центробежными нагнетателями и одним воздушным винтом изменяемого шага в аэродинамической насадке, с кормовым расположением моторного отсека, с упрощенными формами корпуса, с четырьмя или более водонепроницаемыми переборками и наружными складными кринолинами по бортам (фальшбортами).</w:t>
      </w:r>
    </w:p>
    <w:p w:rsidR="00742ACC" w:rsidRPr="00707815" w:rsidRDefault="00742ACC" w:rsidP="00742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размерения и характеристики СВП: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габаритная (м) ~ 8,8…11</w:t>
      </w:r>
    </w:p>
    <w:p w:rsidR="00742ACC" w:rsidRPr="00EE70FB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ширина габаритная по фальшбортам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(ширина воздушной подушки, м) ~ 4…4,8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ACC" w:rsidRPr="00EE70FB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ширина транспортировочная (м) ~ 2,3…2,6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ACC" w:rsidRPr="00EE70FB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высота (габаритная, на твердой поверхности, с радарной аркой, без ма</w:t>
      </w:r>
      <w:r w:rsidRPr="00BC60A4">
        <w:rPr>
          <w:rFonts w:ascii="Times New Roman" w:eastAsia="Times New Roman" w:hAnsi="Times New Roman" w:cs="Times New Roman"/>
          <w:sz w:val="24"/>
          <w:szCs w:val="24"/>
          <w:lang w:eastAsia="ru-RU"/>
        </w:rPr>
        <w:t>чт) м ~ 2…2,9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ACC" w:rsidRPr="00EE70FB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высота воздушной подушки (клиренс под жестким дном, м) ~ 0,5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ACC" w:rsidRPr="00EE70FB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осадка габаритная полного водоизмещения (без воздушной подушки, м), не более – 0,3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ACC" w:rsidRPr="00EE70FB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грузоподъемность (кг) – не менее 1200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ACC" w:rsidRPr="00EE70FB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пассажировместимость (чел.)  – 12 чел. (включая экипаж)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ACC" w:rsidRPr="00EE70FB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</w:t>
      </w:r>
      <w:r w:rsidRPr="00BC60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стационарного топливного бака для дизельного топлива (не менее, л) – 200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двигатели (тип) – дизельные водо-воздушного охлаждения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 хода максимальная (тихая вода / лед, км/ч) – 50/70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ACC" w:rsidRPr="00EE70FB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 топлива в крейсерском режиме (л/час) – 45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ACC" w:rsidRPr="00BC60A4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Рули аэродинамические в потоке от воздушного винта- с приводом от </w:t>
      </w:r>
      <w:r w:rsidRPr="00BC6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рулевой машинки. 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Судно должно соответствовать требованиям ГИМС для маломерных судов.</w:t>
      </w:r>
    </w:p>
    <w:p w:rsidR="00742ACC" w:rsidRPr="00707815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2ACC" w:rsidRPr="007D61D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6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 плавания и сезонность эксплуатации</w:t>
      </w:r>
    </w:p>
    <w:p w:rsidR="00742ACC" w:rsidRPr="00EE70FB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Внутренние морские акватории, прибрежные районы морей с волной до 1,2 метра, внутренние водные пути. </w:t>
      </w:r>
    </w:p>
    <w:p w:rsidR="00742ACC" w:rsidRPr="00BC60A4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СВП предназначен для передвижения как по чистой воде, так и по ледяной шуге, плавающему льду (с ограничением времени непрерывного движения по обледенению), по твердому льду, мелководьям и болотистым поверхностям.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ACC" w:rsidRPr="007D61D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6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Климатические условия</w:t>
      </w:r>
    </w:p>
    <w:p w:rsidR="00742ACC" w:rsidRPr="00EE70FB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Судно должно применяться по своему назначению при температуре наружного воздуха от – -минус 40°С до +40°С.</w:t>
      </w:r>
    </w:p>
    <w:p w:rsidR="00742ACC" w:rsidRPr="00BC60A4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2ACC" w:rsidRPr="007D61D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6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Конструкция корпуса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СВП должно иметь жесткий корпус, изготовленный из алюминия</w:t>
      </w:r>
      <w:r w:rsidRPr="00EE70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Днище корпуса плоское, с внутренним продольно-поперечным силовым набором. Под днищем должны быть предусмотрены 4-</w:t>
      </w:r>
      <w:r w:rsidRPr="00BC60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 опорных башмаков высотой не менее 5 см, на которые судно опирается при посадке на твердую поверхность после выключения воздушной подушки. </w:t>
      </w:r>
      <w:r w:rsidRPr="00BC60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Для обеспечения не</w:t>
      </w:r>
      <w:r w:rsidRPr="007078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потопляемости судна корпус разделен водонепроницаемыми переборками на несколько отсеков, разделенных. Отсек нагнетателей является водопроницаемым.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Вдоль бортов корпуса шарнирно закреплены фальш-борта, которые фиксируются в рабочем положении, а в транспортном – сложены, уменьшая поперечный габарит до размеров стандартного контейнера. Гибкое ограждение крепится по периметру фальшбортов, образуя воздушную подушку шириной более 4 метров.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материала основного корпуса, силового набора и фундаментов принимается листовой и профильный прокат из коррозионностойкого алюминиевого магниевого сплава. Толщина наружной обшивки днища – не менее 1,5 мм (желательно более 2мм), бортов – не менее 1 мм.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Недопустимо применение в конструкции корпуса элементов из металлов и сплавов, подверженных коррозии – углеродистых сталей, дюралюминиевых сплавов, силуминов.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такие элементы присутствуют в покупных изделиях, или сборочных единицах, должна быть обеспечена надлежащая защита таких узлов от коррозии – герметизация, покрытия и т.п., а также регламентирован срок их службы в условиях морской эксплуатации.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 отдельных узлов и элементов корпуса судна должен соответствовать заявленному поставщиком сроку службы судна.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Корпус судна – сварной, включая внутренний силовой набор. Допустимо выполнить кринолины- фальшборта.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элементах силового набора днища – стрингерах и шпангоутах, за исключением относящихся к водонепроницаемым переборкам – должны быть сделаны переливные отверстия на уровне нижних полок силового набор днища, диаметром не менее 5 мм, 2-3 штуки на погонный метр элемента, чтобы избежать накопления воды в шпациях и обеспечить ее переток к помпе. 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сборке судна должны применяться только коррозионно-стойкие метизы.</w:t>
      </w:r>
    </w:p>
    <w:p w:rsidR="00742ACC" w:rsidRPr="00EE70FB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Судно должно иметь</w:t>
      </w:r>
      <w:r w:rsidRPr="00EE7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рубку</w:t>
      </w:r>
      <w:r w:rsidRPr="007078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 стеклопластика</w:t>
      </w:r>
      <w:r w:rsidRPr="00EE7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(или алюминия, или комбинированную) аэродинамической обтекаемой формы.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салоне пределах рубки судна установ</w:t>
      </w:r>
      <w:r w:rsidRPr="00BC6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 звукоизоляцию.</w:t>
      </w:r>
    </w:p>
    <w:p w:rsidR="00742ACC" w:rsidRPr="00EE70FB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Устанавливаемая изоляция является одновременно звукопоглощающей, теплоизолирующей.</w:t>
      </w:r>
    </w:p>
    <w:p w:rsidR="00742ACC" w:rsidRPr="00BC60A4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безопасного прохода по навесным фальшбортам вдоль рубки установить горизонтальные трубчатые поручни на крыше. 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Аэродинамические насадки воздушных винтов прикрыть ограждающими решетками со стороны носа.  Для выхода и входа из салона предусмотреть с каждого борта ступеньку. Для удобства прохода по фальшбортам, на них установить продольные ребра.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носовой части судна должна быть крышка для доступа в форпик.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Моторный отсек закрывается крышкой – капотом для осмотра и доступа к агрегатам двигателя(ей) и трансмиссии. Капот установлен на петлях с возможностью подниматься и фиксироваться в открытом положении, запирается снаружи. Запорное устройство капота должно быть выполнено из нержавеющей стали. Допустимо использование в качестве блокирующих устройств съемных навесных замков.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формирования воздушной подушки на судне по всему периметру устанавливается гибкое ограждение. Двухъярусное, состоящее из верхнего яруса — монолита, и нижнего яруса – съёмных элементов.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гибкого ограждения – прорезиненная ткань на основе капронового текстиля.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Крепление ограждения и его элементов только нержавеющими метизами.</w:t>
      </w:r>
    </w:p>
    <w:p w:rsidR="00742ACC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ru-RU"/>
        </w:rPr>
      </w:pPr>
    </w:p>
    <w:p w:rsidR="007D61DE" w:rsidRDefault="007D61DE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ru-RU"/>
        </w:rPr>
      </w:pPr>
    </w:p>
    <w:p w:rsidR="007D61DE" w:rsidRPr="00707815" w:rsidRDefault="007D61DE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ru-RU"/>
        </w:rPr>
      </w:pPr>
    </w:p>
    <w:p w:rsidR="00742ACC" w:rsidRPr="007D61D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6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Конструкция рубки и обитаемость</w:t>
      </w:r>
    </w:p>
    <w:p w:rsidR="00742ACC" w:rsidRPr="00EE70FB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Рубка СВП имеет стенки с внутренним покрытием синтетическим ворсовым материалом.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Рубка имеет однообъемную компоновку, в носовой части располагаются кресло судоводителя, пульт управления СВП, кресло навигатора. Остальной объем образует салон с продольными сиденьями по бортам – на 10 посадочных мест с синтетическим ворсовым покрытием. </w:t>
      </w: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рундуках под диванами должно быть место под ЗИП, спасательные жилеты, и т.д.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В крыше рубки должен быть предусмотрен откидной (сдвижной) световой люк с тонированным стеклом, размещенный позади кресел.</w:t>
      </w:r>
    </w:p>
    <w:p w:rsidR="00742ACC" w:rsidRPr="00BC60A4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Лобовое стекло типа триплекс должно быть оборудовано снаружи стеклоочистителями морского (яхтенного) исполнения, </w:t>
      </w: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обеспечивающими непрерывную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BC6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на максимальной производительности в течение всего времени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BC6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судна.  Над лобовым стеклом установить светозащитные козырьки для судоводителя и навигатора.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Вытяжная вентиляция – естественная.</w:t>
      </w:r>
    </w:p>
    <w:p w:rsidR="00742ACC" w:rsidRPr="00EE70FB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07815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внутренней стороны лобовое остекление обеспечено системой обдува тёплым и холодным воздухом. Обогрев воздуха для обдува остекления производится охлаждающей жидкостью главного двигателя(ей), - </w:t>
      </w:r>
      <w:r w:rsidRPr="00EE7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водо-воздушными печками отопления салона с электровентиляторами, куда поступает горячий антифриз от двигателя.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входа в рубку установить двери с каждого борта. Двери должны иметь запорное устройство из нержавеющей стали и/или коррозионностойкого алюминия, и могут иметь сдвижную или откидную конструкцию.</w:t>
      </w:r>
    </w:p>
    <w:p w:rsidR="00742ACC" w:rsidRPr="00EE70FB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2ACC" w:rsidRPr="007D61D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D6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Силовая установка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Расход топлива на номинальном режиме– не более 45 л/час. Запуск двигателей от электростартеров.</w:t>
      </w:r>
    </w:p>
    <w:p w:rsidR="00742ACC" w:rsidRPr="00EE70FB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Расположение механизмов, прокладку труб и электрожгутов в моторном отсеке выполнить с учетом удобства их обслуживания и безопасности. Обеспечить защиту труб и электрожгутов от механического повреждения при трении об элементы конструкции и крепеж вследствие вибрации от двигателей и иных механизмов.</w:t>
      </w:r>
    </w:p>
    <w:p w:rsidR="00742ACC" w:rsidRPr="00BC60A4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Топливная система должна включать топливный бак емкостью не менее 200 литров с расходно-топливным трубопроводом и трубопроводом слива избытков топлива, датчика указателей уровня топлива в баках, топливного фильтра с электроподогревом и краном слива отстоя. 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топливных баков – алюминиевый сплав, материал трубопроводов топливной системы – нержавеющая сталь.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Вентиляционную трубу топливного бака снабдить пламяпрерывающей сеткой.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охлаждения двигателя должна стоять из жидкостно-воздушного радиатора и трубопроводов. Вставки из масло-бензостойкой резины (при наличии) крепятся нержавеющими хомутами.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газовыхлопа должна состоять из теплостойких газоотводов, выводящих выхлопные газы от двигателя за борт. Выхлоп сухой, материал трубопроводов – жаропрочная коррозионостойкая сталь. Допустимо применение газовыхлопа в полость воздушной подушки, с обеспечением нормативов по шумности.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Газоотводы в моторном отсеке закрыть теплоизоляцией, обеспечить брызгостойкие уплотнения в местах выхода газоотводов из моторного отсека.</w:t>
      </w:r>
    </w:p>
    <w:p w:rsidR="00742ACC" w:rsidRPr="00BC60A4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Моторный отсек оборудовать естественной приточной и искусственной вентиляцией, обеспечить поддержание в рабочей зоне двигателей достаточного количества воздуха для их нормальной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BC6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на всех режимах. </w:t>
      </w:r>
    </w:p>
    <w:p w:rsidR="00742ACC" w:rsidRPr="00BC60A4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Катер должен оборудован гидравлической трансмиссией для маршевого винта и и нагнетательного комплекса. Гидравлическая трансмиссия может иметь единый насос для обоих бортов с возможностью независимой регулировки режимов нагнетателей каждого </w:t>
      </w:r>
      <w:r w:rsidRPr="00BC6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борта. Недопустимо применение в ходовых трансмиссиях ременных передач (это не относится к приводам генераторов и охлаждения).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движителей используются воздушные винт изменяемого шага в аэродинамической неповоротной насадке. Конструкция и крепление насадки должны обеспечивать гарантированный зазор между насадкой и лопастями винта при любых возможных расчетных эксплуатационных деформациях корпуса.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Угол поворота лопастей винта управляется с пульта управления судном и контролируется указателями шага, установленными в пульте управления. Датчики и сервоприводы управления шагом винтов должны иметь исполнение не ниже IP65.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применение резиновых сальников для защиты всех подшипников от аэрозоля морской воды. Штатные защитные крышки подшипников не могут служить такой защитой.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требование относится в первую очередь к подшипникам нагнетателей и движителей.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электрические узлы и устройства (включая вентиляторы, насосы, клапаны и т.п.), а также разъемы и соединения в моторном отсеке должны иметь защиту от влаги уровня не ниже IP65.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2ACC" w:rsidRPr="007D61D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6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Скорость хода и автономность плавания</w:t>
      </w:r>
    </w:p>
    <w:p w:rsidR="00742ACC" w:rsidRPr="00EE70FB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Максимальная скорость хода на тихой воде в безветрие должна быть не менее 50 км/час, крейсерская не менее 40. </w:t>
      </w:r>
    </w:p>
    <w:p w:rsidR="00742ACC" w:rsidRPr="00BC60A4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Судно должно иметь задний ход, обеспеченный отрицательным шагом винтов движителей, раздельное управление нагнетанием воздуха в отсеки воздушной подушки правого и левого борта.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Длительность экономичного крейсерского хода по топливу должна составлять не менее 10 часов.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ACC" w:rsidRPr="007D61D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  <w:r w:rsidRPr="007D6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Мореходные и ходовые качества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Безопасная эксплуатация судна должна быть обеспечена во всех режимах </w:t>
      </w:r>
      <w:r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Работ</w:t>
      </w:r>
      <w:r w:rsidRPr="00EE70FB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ы силовой установк</w:t>
      </w:r>
      <w:r w:rsidRPr="00BC60A4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и и на любых курсовых углах к направлению бега волн с высотой волны 1 % обеспеченности до 1,2 м включительно и в условиях действия ветра любого направления ск</w:t>
      </w:r>
      <w:r w:rsidRPr="00707815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оростью до 10 м/с.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Судно должно преодолевать на суше сглаженные препятствия до 0,6 м и ступенчатые до 0,4 м, подниматься по ровной поверхности с уклоном до 6 градусов.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Остойчивость и непотопляемость, системы осушения и дифферентования.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Остойчивость и непотопляемость судна должна удовлетворять Правилам безопасной эксплуатации во всех эксплуатационных случаях нагрузки. Для увеличения живучести судна внутрикорпусное пространство разделено на водонепроницаемые отсеки. Судно должно быть оборудован погружными электрическими помпами в салоне, моторном отсеке и отсеке с топливными баками и вспомогательной ручной помпой для откачки воды. </w:t>
      </w: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насосов обеспечить с пульта управления с помощью тумблеров нажимного типа.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Откачка жидкости производится по трубопроводам через патрубки, установленные в комингсе рубки. 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Должна быть предусмотрена дифферентная система с двумя баками один в носу, один в корме. 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на перекачку полного объёма из одного бака в другой - не более 15 минут.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насосов вывести на пульт управления с помощью тумблеров нажимного типа. Контроль полноты заполнения дифферентовочных баков с помощью датчиков уровня жидкости, сигнализацию включения насосов обеспечить лампами сигнализации на пульте. Там же должен находиться указатель угла дифферента.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Обеспечить надежное крепление датчика угла ходового дифферента и датчиков уровня.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2ACC" w:rsidRPr="007D61DE" w:rsidRDefault="00742ACC" w:rsidP="00742ACC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D61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Рулевое устройство</w:t>
      </w:r>
    </w:p>
    <w:p w:rsidR="00742ACC" w:rsidRPr="00BC60A4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судне устанавливается группа обтекаемых рулей за аэродинамическими насадками в потоке от движителей. Рули соединить между собой жесткими тягами.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рулями производится рулевой машинкой, установленной в пульте управления. 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Рулевая машинка должна обеспечивать перекладку рулей от 30° на каждый борт.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жесткое ограничение угла перекладки рулей (допустимо осуществить за счёт ограничения хода рулевой машинки).</w:t>
      </w:r>
    </w:p>
    <w:p w:rsidR="00742ACC" w:rsidRPr="00707815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2ACC" w:rsidRPr="007D61D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6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Автоматизация</w:t>
      </w:r>
    </w:p>
    <w:p w:rsidR="00742ACC" w:rsidRPr="00BC60A4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судне должна быть смонтирована система автоматического предупреждения о снижении заряда аккумуляторных батарей ниже номинального значения (устанавливается экипажем в диапазоне 11,7 — 12,2 В).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Приборы управления, контроля, мониторинга: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Приборная панель с многофункциональным тахометром, компьютером управления двигателями, спидометром (использующим технологию GPS). Приборами: уровня топлива, давления масла в двигателе, тока зарядки аккумуляторов, указателями поворота рулей, указателями шага винтов, указателем угла ходового дифферента. </w:t>
      </w:r>
    </w:p>
    <w:p w:rsidR="00742ACC" w:rsidRPr="00707815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2ACC" w:rsidRPr="007D61D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6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Электроснабжение</w:t>
      </w:r>
    </w:p>
    <w:p w:rsidR="00742ACC" w:rsidRPr="00BC60A4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разъемы и соединения должны быть герметичного исполнения. Датчик контроля за изменением шага винта должен быть герметичного типа с большим ресурсом. Необходимо обеспечить надежную защиту от влаги для элементов управления двигателем (компьютер, схема контроля заряда батарей), а также мотором отопителя салона (силовой ключ).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Недопустимо применение изоляционных лент любого типа для защиты проводки и сборке жгутов – лишь для временной фиксации готовых жгутов при их прокладке.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источниками электроэнергии постоянного тока являются штатные генераторы 12В главного двигателя.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Резервными источниками электроэнергии постоянного тока является аккумуляторная батарея напряжением 12В, ёмкостью не менее 120 А.ч.</w:t>
      </w:r>
    </w:p>
    <w:p w:rsidR="00742ACC" w:rsidRPr="00BC60A4" w:rsidRDefault="00742ACC" w:rsidP="00742AC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Аккумуляторная батарея должна </w:t>
      </w:r>
      <w:r w:rsidR="007D6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</w:t>
      </w:r>
      <w:r w:rsidRPr="00BC6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 в буфере с генератором.</w:t>
      </w:r>
    </w:p>
    <w:p w:rsidR="00742ACC" w:rsidRPr="00BC60A4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электроснабжения судна должна включать:</w:t>
      </w:r>
    </w:p>
    <w:p w:rsidR="00742ACC" w:rsidRPr="00BC60A4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 обесточивания многорежимную;</w:t>
      </w:r>
    </w:p>
    <w:p w:rsidR="00742ACC" w:rsidRPr="00EE70FB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2 розетки 12 вольт в панели пульта управления;</w:t>
      </w:r>
    </w:p>
    <w:p w:rsidR="00742ACC" w:rsidRPr="00BC60A4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блоки плавких предохранителей;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стеклоочистители (2 шт.) передних стекол двухскоростные с режимом «паркинг»;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звуковые сигналы «горн», «сирена»;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откачную электрическую помпу производительностью 40 л/мин в топливном отсеке;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откачную электрическую помпу производительностью 40 л/мин в моторном отсеке;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откачную электрическую помпу производительностью 40 л/мин в салоне судна;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навигационные огни по требованиям МППСС-72;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проблесковый круговой фонарь (желтый) или импульсная круговая отмашка (белая);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прожектор поворотный с механическим управлением (морского/яхтенного исполнения), 2 шт;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плафоны освещения салона светодиодные.</w:t>
      </w:r>
    </w:p>
    <w:p w:rsidR="00742ACC" w:rsidRPr="00707815" w:rsidRDefault="00742ACC" w:rsidP="00742AC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ACC" w:rsidRPr="007D61D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61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Средства навигации и связи</w:t>
      </w:r>
    </w:p>
    <w:p w:rsidR="0061366E" w:rsidRPr="0061366E" w:rsidRDefault="0061366E" w:rsidP="006136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судне должно быть установлено следующее оборудование навигации и связи:</w:t>
      </w:r>
    </w:p>
    <w:p w:rsidR="0061366E" w:rsidRPr="0061366E" w:rsidRDefault="0061366E" w:rsidP="006136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-навигационный компьютер, включающий GPS/ГЛОНАСС-приемник с </w:t>
      </w:r>
      <w:proofErr w:type="spellStart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картплоттером</w:t>
      </w:r>
      <w:proofErr w:type="spellEnd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366E" w:rsidRPr="0061366E" w:rsidRDefault="0061366E" w:rsidP="006136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РЛС с радиусом действия не менее 5 миль (предпочтительная модель – </w:t>
      </w:r>
      <w:proofErr w:type="spellStart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Furuno</w:t>
      </w:r>
      <w:proofErr w:type="spellEnd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M-1623 или аналог);</w:t>
      </w:r>
    </w:p>
    <w:p w:rsidR="0061366E" w:rsidRPr="0061366E" w:rsidRDefault="0061366E" w:rsidP="006136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-Стационарная морская радиостанция </w:t>
      </w:r>
      <w:proofErr w:type="spellStart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Icom</w:t>
      </w:r>
      <w:proofErr w:type="spellEnd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IC-M802с или аналог. (</w:t>
      </w:r>
      <w:proofErr w:type="gramStart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оформленным экспертным заключением Главного радиочастотного центра РФ и оформлением сертификата радиооператора) -1 шт.;</w:t>
      </w:r>
    </w:p>
    <w:p w:rsidR="0061366E" w:rsidRPr="0061366E" w:rsidRDefault="0061366E" w:rsidP="006136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-Морская переносная радиостанция, сопрягаемая с частотным диапазоном с </w:t>
      </w:r>
      <w:proofErr w:type="spellStart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Icom</w:t>
      </w:r>
      <w:proofErr w:type="spellEnd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IC-M802с- 1 </w:t>
      </w:r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шт.;</w:t>
      </w:r>
    </w:p>
    <w:p w:rsidR="0061366E" w:rsidRPr="0061366E" w:rsidRDefault="0061366E" w:rsidP="006136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-уголковый радиолокационный отражатель яхтенный (РЛО) – 1 шт.;</w:t>
      </w:r>
    </w:p>
    <w:p w:rsidR="0061366E" w:rsidRPr="0061366E" w:rsidRDefault="0061366E" w:rsidP="006136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-GPS-</w:t>
      </w:r>
      <w:proofErr w:type="spellStart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трекер</w:t>
      </w:r>
      <w:proofErr w:type="spellEnd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 </w:t>
      </w:r>
      <w:proofErr w:type="spellStart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366E" w:rsidRDefault="0061366E" w:rsidP="006136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-Спутниковый телефон </w:t>
      </w:r>
      <w:proofErr w:type="spellStart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Iridium</w:t>
      </w:r>
      <w:proofErr w:type="spellEnd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9555 (</w:t>
      </w:r>
      <w:proofErr w:type="spellStart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>Иридиум</w:t>
      </w:r>
      <w:proofErr w:type="spellEnd"/>
      <w:r w:rsidRPr="00613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9555) с комплектом оплаченных 600 минут в кейсе или аналог -1 шт.</w:t>
      </w:r>
    </w:p>
    <w:p w:rsidR="00742ACC" w:rsidRPr="00707815" w:rsidRDefault="00742ACC" w:rsidP="0061366E">
      <w:pPr>
        <w:widowControl w:val="0"/>
        <w:suppressAutoHyphens/>
        <w:spacing w:after="0" w:line="240" w:lineRule="auto"/>
        <w:ind w:left="7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ACC" w:rsidRPr="00B324B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2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Спасательные и сигнальные средства и аварийное имущество</w:t>
      </w:r>
    </w:p>
    <w:p w:rsidR="00742ACC" w:rsidRPr="00EE70FB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Судно должно быть обеспечен следующими спасательными средствами, оборудованием и аварийным имуществом:</w:t>
      </w:r>
    </w:p>
    <w:p w:rsidR="00742ACC" w:rsidRPr="00BC60A4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рабоче-спасательными жилетами в мягком исполнении – 12 штук;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спасательный круг с спасательным линем и светящимся буйком – 1 шт.;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отпорный крюк – 1 шт.;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гребное весло;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ракета сигнальная парашютная – 3 шт.;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фальшфейер красного огня – 4 шт.;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аптечка первой помощи;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черпак;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ведро складное;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для ремонта гибкого ограждения с набором инструментов (в том числе карманы нижнего яруса – 10 штук);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огнетушитель с держателем – 1 шт.</w:t>
      </w:r>
    </w:p>
    <w:p w:rsidR="00742ACC" w:rsidRPr="00707815" w:rsidRDefault="00742ACC" w:rsidP="00742ACC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2ACC" w:rsidRPr="00B324B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2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Защита корпуса</w:t>
      </w:r>
    </w:p>
    <w:p w:rsidR="00742ACC" w:rsidRPr="00BC60A4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Корпус должен быть окрашен снаружи кислото-стойкой (судовой) краской, также окрашиваются фальш-борта. Стеклопластиковая</w:t>
      </w:r>
      <w:r w:rsidRPr="00BC6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рубка может оставаться неокрашенной.</w:t>
      </w:r>
    </w:p>
    <w:p w:rsidR="00742ACC" w:rsidRPr="00BC60A4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Коррозионная стойкость корпуса обеспечивается применением коррозионностойкого алюминиево-магниевого сплава.</w:t>
      </w:r>
    </w:p>
    <w:p w:rsidR="00742ACC" w:rsidRPr="00BC60A4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ACC" w:rsidRPr="00B324B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2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Якорно-швартовное устройство</w:t>
      </w:r>
    </w:p>
    <w:p w:rsidR="00742ACC" w:rsidRPr="00EE70FB" w:rsidRDefault="00742ACC" w:rsidP="00742ACC">
      <w:pPr>
        <w:tabs>
          <w:tab w:val="left" w:pos="567"/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Судно должно быть оборудовано якорно-швартовным устройством:</w:t>
      </w:r>
    </w:p>
    <w:p w:rsidR="00742ACC" w:rsidRPr="00EE70FB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якорь </w:t>
      </w: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«Матросова»</w:t>
      </w: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весом не менее 6 кг;</w:t>
      </w:r>
    </w:p>
    <w:p w:rsidR="00742ACC" w:rsidRPr="00BC60A4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якорный канат, капроновый (или из эквивалентного материала), диаметром 12 мм, длиной не менее 30 м;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якорный рым-кнехт носовой;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рундук в салоне для якоря, якорного каната и швартовых;</w:t>
      </w:r>
    </w:p>
    <w:p w:rsidR="00742ACC" w:rsidRPr="00707815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швартовый канат капроновый (или из эквивалентного материала) диаметром 12 мм длиной 10 м – 2 шт;</w:t>
      </w:r>
    </w:p>
    <w:p w:rsidR="00742ACC" w:rsidRDefault="00742ACC" w:rsidP="00742ACC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швартовные кнехты, по два с каждого борта, типоразмер и прочность должны соответствовать диаметру швартовного каната.</w:t>
      </w:r>
    </w:p>
    <w:p w:rsidR="00B324BE" w:rsidRDefault="00B324BE" w:rsidP="00B324B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4BE" w:rsidRDefault="00B324BE" w:rsidP="00B324B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4BE" w:rsidRPr="00707815" w:rsidRDefault="00B324BE" w:rsidP="00B324B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ACC" w:rsidRPr="00707815" w:rsidRDefault="00742ACC" w:rsidP="00742ACC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ACC" w:rsidRPr="00B324B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2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Спускоподъемное устройство</w:t>
      </w:r>
    </w:p>
    <w:p w:rsidR="00742ACC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Корпус судна должен быть оборудован силовыми рымами для крепления подъемных строп, мягкими подъемными стропами из полиамидного материала соответствующей прочности и подъемной такелажной траверсой. </w:t>
      </w:r>
    </w:p>
    <w:p w:rsidR="00742ACC" w:rsidRPr="00BC60A4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ACC" w:rsidRPr="00B324B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2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Упаковка и транспортировка</w:t>
      </w:r>
    </w:p>
    <w:p w:rsidR="00742ACC" w:rsidRPr="00BC60A4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Погрузка судна выполняется силами изготовителя на месте отгрузки. Для агрегатов моторного отсека и движительного комплекса поставщик должен предусмотреть до</w:t>
      </w:r>
      <w:r w:rsidRPr="00BC60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полнительный транспортный крепеж, исключающий поломки при транспортировке (включая воздействия от ЖД горок на сортировках).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Судно должно быть укомплектовано ЗИПом из расчета 500 часов эксплуатации (уплотнения, элементы гибкого ограждения, узлы с ограниченным ресурсом, подшипники, ремни), исключая топливные, масляные фильтры и воздушные фильтры для двигателей.</w:t>
      </w:r>
    </w:p>
    <w:p w:rsidR="00742ACC" w:rsidRPr="00707815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81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ЗИП должен включать комплект лопастей для движителя.</w:t>
      </w:r>
    </w:p>
    <w:p w:rsidR="00742ACC" w:rsidRPr="00707815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ACC" w:rsidRPr="00B324B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2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Гарантия</w:t>
      </w:r>
    </w:p>
    <w:p w:rsidR="00742ACC" w:rsidRPr="00EE70FB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0FB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эксплуатации – 12 месяцев (или 500 моточасов).</w:t>
      </w:r>
    </w:p>
    <w:p w:rsidR="00742ACC" w:rsidRPr="00BC60A4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ACC" w:rsidRPr="00B324BE" w:rsidRDefault="00742ACC" w:rsidP="00742A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2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поставки</w:t>
      </w:r>
    </w:p>
    <w:p w:rsidR="00742ACC" w:rsidRDefault="00742ACC" w:rsidP="00742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поставки – Архангельская область, Приморский район, Соловецкий архипелаг, п.Соловецкий. </w:t>
      </w:r>
    </w:p>
    <w:p w:rsidR="00742ACC" w:rsidRDefault="00742ACC" w:rsidP="00742A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ACC" w:rsidRDefault="00742ACC" w:rsidP="00742A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по сохранению и развитию Соловецкого архипелага</w:t>
      </w:r>
    </w:p>
    <w:p w:rsidR="00742ACC" w:rsidRDefault="00624E7D" w:rsidP="00742A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отдела </w:t>
      </w:r>
      <w:bookmarkStart w:id="0" w:name="_GoBack"/>
      <w:bookmarkEnd w:id="0"/>
      <w:r w:rsidR="00742A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742ACC" w:rsidRDefault="00742ACC" w:rsidP="00742A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42ACC" w:rsidRDefault="00742ACC" w:rsidP="00742A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F8A" w:rsidRDefault="000E1F8A"/>
    <w:sectPr w:rsidR="000E1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E7F5F"/>
    <w:multiLevelType w:val="multilevel"/>
    <w:tmpl w:val="00000008"/>
    <w:numStyleLink w:val="SymbolSymbol06906"/>
  </w:abstractNum>
  <w:abstractNum w:abstractNumId="1" w15:restartNumberingAfterBreak="0">
    <w:nsid w:val="771107BF"/>
    <w:multiLevelType w:val="multilevel"/>
    <w:tmpl w:val="00000008"/>
    <w:styleLink w:val="SymbolSymbol06906"/>
    <w:lvl w:ilvl="0">
      <w:start w:val="1"/>
      <w:numFmt w:val="bullet"/>
      <w:lvlText w:val=""/>
      <w:lvlJc w:val="left"/>
      <w:pPr>
        <w:tabs>
          <w:tab w:val="num" w:pos="754"/>
        </w:tabs>
        <w:ind w:left="754" w:hanging="360"/>
      </w:pPr>
      <w:rPr>
        <w:rFonts w:ascii="Symbol" w:hAnsi="Symbo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770"/>
    <w:rsid w:val="000E1F8A"/>
    <w:rsid w:val="00574698"/>
    <w:rsid w:val="0061366E"/>
    <w:rsid w:val="00624E7D"/>
    <w:rsid w:val="00742ACC"/>
    <w:rsid w:val="007D61DE"/>
    <w:rsid w:val="00B324BE"/>
    <w:rsid w:val="00E16196"/>
    <w:rsid w:val="00F9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1C3D4"/>
  <w15:chartTrackingRefBased/>
  <w15:docId w15:val="{D76869F3-7AE2-42E5-91A3-6DC1775DD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A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ymbolSymbol06906">
    <w:name w:val="Стиль маркированный Symbol (Symbol) Слева:  069 см Выступ:  06..."/>
    <w:rsid w:val="00742ACC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2738</Words>
  <Characters>15610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Pasko.IA</dc:creator>
  <cp:keywords/>
  <dc:description/>
  <cp:lastModifiedBy>Pasko.IA</cp:lastModifiedBy>
  <cp:revision>5</cp:revision>
  <dcterms:created xsi:type="dcterms:W3CDTF">2019-05-16T19:26:00Z</dcterms:created>
  <dcterms:modified xsi:type="dcterms:W3CDTF">2019-05-24T14:28:00Z</dcterms:modified>
</cp:coreProperties>
</file>